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56083" w14:textId="0230C5EE" w:rsidR="00C35F8C" w:rsidRPr="00C35F8C" w:rsidRDefault="00C35F8C" w:rsidP="00EB602E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 w:rsidRPr="00C35F8C">
        <w:rPr>
          <w:rFonts w:ascii="Times New Roman" w:hAnsi="Times New Roman" w:cs="Times New Roman"/>
          <w:sz w:val="40"/>
          <w:szCs w:val="40"/>
          <w:lang w:val="uk-UA"/>
        </w:rPr>
        <w:t>ЗВІТ З НАВЧАЛЬНОЇ ПРАКТИКИ</w:t>
      </w:r>
    </w:p>
    <w:p w14:paraId="3CBA5F96" w14:textId="12F715A0" w:rsidR="00113B6F" w:rsidRPr="00EB602E" w:rsidRDefault="00000000" w:rsidP="00EB60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B602E">
        <w:rPr>
          <w:rFonts w:ascii="Times New Roman" w:hAnsi="Times New Roman" w:cs="Times New Roman"/>
          <w:sz w:val="28"/>
          <w:szCs w:val="28"/>
          <w:lang w:val="uk-UA"/>
        </w:rPr>
        <w:t>Тема 1.2. Формування та використання фінансових ресурсів підприємств</w:t>
      </w:r>
    </w:p>
    <w:p w14:paraId="54F1D23C" w14:textId="77777777" w:rsidR="00113B6F" w:rsidRPr="00EB602E" w:rsidRDefault="00000000" w:rsidP="00EB602E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EB602E">
        <w:rPr>
          <w:rFonts w:ascii="Times New Roman" w:hAnsi="Times New Roman" w:cs="Times New Roman"/>
          <w:b w:val="0"/>
          <w:bCs w:val="0"/>
          <w:color w:val="auto"/>
          <w:lang w:val="uk-UA"/>
        </w:rPr>
        <w:t>Мета роботи:</w:t>
      </w:r>
    </w:p>
    <w:p w14:paraId="5C1B3258" w14:textId="77777777" w:rsidR="00113B6F" w:rsidRPr="00EB602E" w:rsidRDefault="00000000" w:rsidP="00EB602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B602E">
        <w:rPr>
          <w:rFonts w:ascii="Times New Roman" w:hAnsi="Times New Roman" w:cs="Times New Roman"/>
          <w:sz w:val="28"/>
          <w:szCs w:val="28"/>
          <w:lang w:val="uk-UA"/>
        </w:rPr>
        <w:t>Навчитися оцінювати джерела фінансових ресурсів підприємства, розраховувати власні оборотні кошти (ВОК), аналізувати структуру капіталу та ефективність його використання.</w:t>
      </w:r>
    </w:p>
    <w:p w14:paraId="1A673F0D" w14:textId="77777777" w:rsidR="00113B6F" w:rsidRPr="00EB602E" w:rsidRDefault="00000000" w:rsidP="00EB602E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EB602E">
        <w:rPr>
          <w:rFonts w:ascii="Times New Roman" w:hAnsi="Times New Roman" w:cs="Times New Roman"/>
          <w:b w:val="0"/>
          <w:bCs w:val="0"/>
          <w:color w:val="auto"/>
          <w:lang w:val="uk-UA"/>
        </w:rPr>
        <w:t>1. Оцінювання джерел формування фінансових ресурсів</w:t>
      </w:r>
    </w:p>
    <w:p w14:paraId="05EA8A7A" w14:textId="77777777" w:rsidR="00113B6F" w:rsidRPr="00EB602E" w:rsidRDefault="00000000" w:rsidP="00EB602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B602E">
        <w:rPr>
          <w:rFonts w:ascii="Times New Roman" w:hAnsi="Times New Roman" w:cs="Times New Roman"/>
          <w:sz w:val="28"/>
          <w:szCs w:val="28"/>
          <w:lang w:val="uk-UA"/>
        </w:rPr>
        <w:t>Порівняння структури капіталу державного банку (АТ КБ «ПриватБанк») та приватного підприємства (ТОВ «</w:t>
      </w:r>
      <w:proofErr w:type="spellStart"/>
      <w:r w:rsidRPr="00EB602E">
        <w:rPr>
          <w:rFonts w:ascii="Times New Roman" w:hAnsi="Times New Roman" w:cs="Times New Roman"/>
          <w:sz w:val="28"/>
          <w:szCs w:val="28"/>
          <w:lang w:val="uk-UA"/>
        </w:rPr>
        <w:t>Компані</w:t>
      </w:r>
      <w:proofErr w:type="spellEnd"/>
      <w:r w:rsidRPr="00EB602E">
        <w:rPr>
          <w:rFonts w:ascii="Times New Roman" w:hAnsi="Times New Roman" w:cs="Times New Roman"/>
          <w:sz w:val="28"/>
          <w:szCs w:val="28"/>
          <w:lang w:val="uk-UA"/>
        </w:rPr>
        <w:t xml:space="preserve"> Інвест </w:t>
      </w:r>
      <w:proofErr w:type="spellStart"/>
      <w:r w:rsidRPr="00EB602E">
        <w:rPr>
          <w:rFonts w:ascii="Times New Roman" w:hAnsi="Times New Roman" w:cs="Times New Roman"/>
          <w:sz w:val="28"/>
          <w:szCs w:val="28"/>
          <w:lang w:val="uk-UA"/>
        </w:rPr>
        <w:t>Фінанс</w:t>
      </w:r>
      <w:proofErr w:type="spellEnd"/>
      <w:r w:rsidRPr="00EB602E">
        <w:rPr>
          <w:rFonts w:ascii="Times New Roman" w:hAnsi="Times New Roman" w:cs="Times New Roman"/>
          <w:sz w:val="28"/>
          <w:szCs w:val="28"/>
          <w:lang w:val="uk-UA"/>
        </w:rPr>
        <w:t>»):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2877"/>
        <w:gridCol w:w="2877"/>
        <w:gridCol w:w="2876"/>
      </w:tblGrid>
      <w:tr w:rsidR="00C35F8C" w:rsidRPr="00EB602E" w14:paraId="4A90239B" w14:textId="77777777">
        <w:tc>
          <w:tcPr>
            <w:tcW w:w="2880" w:type="dxa"/>
          </w:tcPr>
          <w:p w14:paraId="11CF1901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Показник (млрд грн)</w:t>
            </w:r>
          </w:p>
        </w:tc>
        <w:tc>
          <w:tcPr>
            <w:tcW w:w="2880" w:type="dxa"/>
          </w:tcPr>
          <w:p w14:paraId="50FEF50F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ПриватБанк (Державний)</w:t>
            </w:r>
          </w:p>
        </w:tc>
        <w:tc>
          <w:tcPr>
            <w:tcW w:w="2880" w:type="dxa"/>
          </w:tcPr>
          <w:p w14:paraId="600C150B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 (Приватне)</w:t>
            </w:r>
          </w:p>
        </w:tc>
      </w:tr>
      <w:tr w:rsidR="00C35F8C" w:rsidRPr="00EB602E" w14:paraId="08345811" w14:textId="77777777">
        <w:tc>
          <w:tcPr>
            <w:tcW w:w="2880" w:type="dxa"/>
          </w:tcPr>
          <w:p w14:paraId="16B2DEA2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Власний капітал</w:t>
            </w:r>
          </w:p>
        </w:tc>
        <w:tc>
          <w:tcPr>
            <w:tcW w:w="2880" w:type="dxa"/>
          </w:tcPr>
          <w:p w14:paraId="6713A0DA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247.9</w:t>
            </w:r>
          </w:p>
        </w:tc>
        <w:tc>
          <w:tcPr>
            <w:tcW w:w="2880" w:type="dxa"/>
          </w:tcPr>
          <w:p w14:paraId="770EA747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0.15</w:t>
            </w:r>
          </w:p>
        </w:tc>
      </w:tr>
      <w:tr w:rsidR="00C35F8C" w:rsidRPr="00EB602E" w14:paraId="4837319B" w14:textId="77777777">
        <w:tc>
          <w:tcPr>
            <w:tcW w:w="2880" w:type="dxa"/>
          </w:tcPr>
          <w:p w14:paraId="5B232EA9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Запозичений капітал</w:t>
            </w:r>
          </w:p>
        </w:tc>
        <w:tc>
          <w:tcPr>
            <w:tcW w:w="2880" w:type="dxa"/>
          </w:tcPr>
          <w:p w14:paraId="6FC1E2DB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592.5</w:t>
            </w:r>
          </w:p>
        </w:tc>
        <w:tc>
          <w:tcPr>
            <w:tcW w:w="2880" w:type="dxa"/>
          </w:tcPr>
          <w:p w14:paraId="7C28E71D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0.85</w:t>
            </w:r>
          </w:p>
        </w:tc>
      </w:tr>
      <w:tr w:rsidR="00C35F8C" w:rsidRPr="00EB602E" w14:paraId="1F145FE8" w14:textId="77777777">
        <w:tc>
          <w:tcPr>
            <w:tcW w:w="2880" w:type="dxa"/>
          </w:tcPr>
          <w:p w14:paraId="0876DAB5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Валюта балансу</w:t>
            </w:r>
          </w:p>
        </w:tc>
        <w:tc>
          <w:tcPr>
            <w:tcW w:w="2880" w:type="dxa"/>
          </w:tcPr>
          <w:p w14:paraId="52B10B99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840.4</w:t>
            </w:r>
          </w:p>
        </w:tc>
        <w:tc>
          <w:tcPr>
            <w:tcW w:w="2880" w:type="dxa"/>
          </w:tcPr>
          <w:p w14:paraId="6D16CF1C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1.00</w:t>
            </w:r>
          </w:p>
        </w:tc>
      </w:tr>
      <w:tr w:rsidR="00C35F8C" w:rsidRPr="00EB602E" w14:paraId="3385A849" w14:textId="77777777">
        <w:tc>
          <w:tcPr>
            <w:tcW w:w="2880" w:type="dxa"/>
          </w:tcPr>
          <w:p w14:paraId="6BB00F23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Частка власного капіталу</w:t>
            </w:r>
          </w:p>
        </w:tc>
        <w:tc>
          <w:tcPr>
            <w:tcW w:w="2880" w:type="dxa"/>
          </w:tcPr>
          <w:p w14:paraId="5C4192F8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29.5%</w:t>
            </w:r>
          </w:p>
        </w:tc>
        <w:tc>
          <w:tcPr>
            <w:tcW w:w="2880" w:type="dxa"/>
          </w:tcPr>
          <w:p w14:paraId="5AB02B9A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15.0%</w:t>
            </w:r>
          </w:p>
        </w:tc>
      </w:tr>
    </w:tbl>
    <w:p w14:paraId="2995BD3B" w14:textId="77777777" w:rsidR="00113B6F" w:rsidRPr="00EB602E" w:rsidRDefault="00000000" w:rsidP="00EB602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B602E">
        <w:rPr>
          <w:rFonts w:ascii="Times New Roman" w:hAnsi="Times New Roman" w:cs="Times New Roman"/>
          <w:sz w:val="28"/>
          <w:szCs w:val="28"/>
          <w:lang w:val="uk-UA"/>
        </w:rPr>
        <w:t>Висновок: Державний банк має значно більшу частку власного капіталу (29.5%) порівняно з малим приватним підприємством (15%), що свідчить про вищу фінансову стійкість установи.</w:t>
      </w:r>
    </w:p>
    <w:p w14:paraId="70894990" w14:textId="77777777" w:rsidR="00113B6F" w:rsidRPr="00EB602E" w:rsidRDefault="00000000" w:rsidP="00EB602E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EB602E">
        <w:rPr>
          <w:rFonts w:ascii="Times New Roman" w:hAnsi="Times New Roman" w:cs="Times New Roman"/>
          <w:b w:val="0"/>
          <w:bCs w:val="0"/>
          <w:color w:val="auto"/>
          <w:lang w:val="uk-UA"/>
        </w:rPr>
        <w:t>2. Розрахунок та динаміка власних оборотних коштів (ВОК)</w:t>
      </w:r>
    </w:p>
    <w:p w14:paraId="5DD7FDF1" w14:textId="77777777" w:rsidR="00113B6F" w:rsidRPr="00EB602E" w:rsidRDefault="00000000" w:rsidP="00EB602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B602E">
        <w:rPr>
          <w:rFonts w:ascii="Times New Roman" w:hAnsi="Times New Roman" w:cs="Times New Roman"/>
          <w:sz w:val="28"/>
          <w:szCs w:val="28"/>
          <w:lang w:val="uk-UA"/>
        </w:rPr>
        <w:t>Динаміка ВОК для АТ КБ «ПриватБанк» за період 2021-2024 рр. (млрд грн):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1727"/>
        <w:gridCol w:w="1725"/>
        <w:gridCol w:w="1726"/>
        <w:gridCol w:w="1726"/>
        <w:gridCol w:w="1726"/>
      </w:tblGrid>
      <w:tr w:rsidR="00C35F8C" w:rsidRPr="00EB602E" w14:paraId="36CED047" w14:textId="77777777">
        <w:tc>
          <w:tcPr>
            <w:tcW w:w="1728" w:type="dxa"/>
          </w:tcPr>
          <w:p w14:paraId="4235DE4B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1728" w:type="dxa"/>
          </w:tcPr>
          <w:p w14:paraId="279DB19F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</w:t>
            </w:r>
          </w:p>
        </w:tc>
        <w:tc>
          <w:tcPr>
            <w:tcW w:w="1728" w:type="dxa"/>
          </w:tcPr>
          <w:p w14:paraId="67B3FA73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</w:t>
            </w:r>
          </w:p>
        </w:tc>
        <w:tc>
          <w:tcPr>
            <w:tcW w:w="1728" w:type="dxa"/>
          </w:tcPr>
          <w:p w14:paraId="7E9BF7DF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2023</w:t>
            </w:r>
          </w:p>
        </w:tc>
        <w:tc>
          <w:tcPr>
            <w:tcW w:w="1728" w:type="dxa"/>
          </w:tcPr>
          <w:p w14:paraId="40812E02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2024</w:t>
            </w:r>
          </w:p>
        </w:tc>
      </w:tr>
      <w:tr w:rsidR="00C35F8C" w:rsidRPr="00EB602E" w14:paraId="634928F2" w14:textId="77777777">
        <w:tc>
          <w:tcPr>
            <w:tcW w:w="1728" w:type="dxa"/>
          </w:tcPr>
          <w:p w14:paraId="37190D8F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Власний капітал</w:t>
            </w:r>
          </w:p>
        </w:tc>
        <w:tc>
          <w:tcPr>
            <w:tcW w:w="1728" w:type="dxa"/>
          </w:tcPr>
          <w:p w14:paraId="5729F1A7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66.61</w:t>
            </w:r>
          </w:p>
        </w:tc>
        <w:tc>
          <w:tcPr>
            <w:tcW w:w="1728" w:type="dxa"/>
          </w:tcPr>
          <w:p w14:paraId="7F28712D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57.59</w:t>
            </w:r>
          </w:p>
        </w:tc>
        <w:tc>
          <w:tcPr>
            <w:tcW w:w="1728" w:type="dxa"/>
          </w:tcPr>
          <w:p w14:paraId="4D8ABF90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84.85</w:t>
            </w:r>
          </w:p>
        </w:tc>
        <w:tc>
          <w:tcPr>
            <w:tcW w:w="1728" w:type="dxa"/>
          </w:tcPr>
          <w:p w14:paraId="5EE3C6A9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99.14</w:t>
            </w:r>
          </w:p>
        </w:tc>
      </w:tr>
      <w:tr w:rsidR="00C35F8C" w:rsidRPr="00EB602E" w14:paraId="3618E460" w14:textId="77777777">
        <w:tc>
          <w:tcPr>
            <w:tcW w:w="1728" w:type="dxa"/>
          </w:tcPr>
          <w:p w14:paraId="08B4A6CE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Необоротні </w:t>
            </w: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активи</w:t>
            </w:r>
          </w:p>
        </w:tc>
        <w:tc>
          <w:tcPr>
            <w:tcW w:w="1728" w:type="dxa"/>
          </w:tcPr>
          <w:p w14:paraId="156FECFA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6.55</w:t>
            </w:r>
          </w:p>
        </w:tc>
        <w:tc>
          <w:tcPr>
            <w:tcW w:w="1728" w:type="dxa"/>
          </w:tcPr>
          <w:p w14:paraId="01E2F8E2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7.72</w:t>
            </w:r>
          </w:p>
        </w:tc>
        <w:tc>
          <w:tcPr>
            <w:tcW w:w="1728" w:type="dxa"/>
          </w:tcPr>
          <w:p w14:paraId="7B72A335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7.45</w:t>
            </w:r>
          </w:p>
        </w:tc>
        <w:tc>
          <w:tcPr>
            <w:tcW w:w="1728" w:type="dxa"/>
          </w:tcPr>
          <w:p w14:paraId="77EC0F6E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8.00</w:t>
            </w:r>
          </w:p>
        </w:tc>
      </w:tr>
      <w:tr w:rsidR="00C35F8C" w:rsidRPr="00EB602E" w14:paraId="70FFBA4E" w14:textId="77777777">
        <w:tc>
          <w:tcPr>
            <w:tcW w:w="1728" w:type="dxa"/>
          </w:tcPr>
          <w:p w14:paraId="73FE02A0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ВОК (ВК - НА)</w:t>
            </w:r>
          </w:p>
        </w:tc>
        <w:tc>
          <w:tcPr>
            <w:tcW w:w="1728" w:type="dxa"/>
          </w:tcPr>
          <w:p w14:paraId="72B7A676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60.06</w:t>
            </w:r>
          </w:p>
        </w:tc>
        <w:tc>
          <w:tcPr>
            <w:tcW w:w="1728" w:type="dxa"/>
          </w:tcPr>
          <w:p w14:paraId="0A7A0444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49.87</w:t>
            </w:r>
          </w:p>
        </w:tc>
        <w:tc>
          <w:tcPr>
            <w:tcW w:w="1728" w:type="dxa"/>
          </w:tcPr>
          <w:p w14:paraId="060260E0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77.40</w:t>
            </w:r>
          </w:p>
        </w:tc>
        <w:tc>
          <w:tcPr>
            <w:tcW w:w="1728" w:type="dxa"/>
          </w:tcPr>
          <w:p w14:paraId="244B1F62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91.14</w:t>
            </w:r>
          </w:p>
        </w:tc>
      </w:tr>
    </w:tbl>
    <w:p w14:paraId="1D9B3C06" w14:textId="77777777" w:rsidR="00113B6F" w:rsidRPr="00EB602E" w:rsidRDefault="00000000" w:rsidP="00EB602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B602E">
        <w:rPr>
          <w:rFonts w:ascii="Times New Roman" w:hAnsi="Times New Roman" w:cs="Times New Roman"/>
          <w:sz w:val="28"/>
          <w:szCs w:val="28"/>
          <w:lang w:val="uk-UA"/>
        </w:rPr>
        <w:t>Висновок: За аналізований період спостерігається зростання власних оборотних коштів з 60.06 млрд грн до 91.14 млрд грн. Темп зростання за 4 роки склав приблизно 51.7%.</w:t>
      </w:r>
    </w:p>
    <w:p w14:paraId="675A650E" w14:textId="77777777" w:rsidR="00113B6F" w:rsidRPr="00EB602E" w:rsidRDefault="00000000" w:rsidP="00EB602E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EB602E">
        <w:rPr>
          <w:rFonts w:ascii="Times New Roman" w:hAnsi="Times New Roman" w:cs="Times New Roman"/>
          <w:b w:val="0"/>
          <w:bCs w:val="0"/>
          <w:color w:val="auto"/>
          <w:lang w:val="uk-UA"/>
        </w:rPr>
        <w:t>3. Оцінка ефективності використання ресурсів</w:t>
      </w:r>
    </w:p>
    <w:p w14:paraId="11E3B0BE" w14:textId="77777777" w:rsidR="00113B6F" w:rsidRPr="00EB602E" w:rsidRDefault="00000000" w:rsidP="00EB602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B602E">
        <w:rPr>
          <w:rFonts w:ascii="Times New Roman" w:hAnsi="Times New Roman" w:cs="Times New Roman"/>
          <w:sz w:val="28"/>
          <w:szCs w:val="28"/>
          <w:lang w:val="uk-UA"/>
        </w:rPr>
        <w:t>Ключові показники ефективності (прогнозні значення на основі тенденції):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2878"/>
        <w:gridCol w:w="2876"/>
        <w:gridCol w:w="2876"/>
      </w:tblGrid>
      <w:tr w:rsidR="00C35F8C" w:rsidRPr="00EB602E" w14:paraId="6BB15A48" w14:textId="77777777">
        <w:tc>
          <w:tcPr>
            <w:tcW w:w="2880" w:type="dxa"/>
          </w:tcPr>
          <w:p w14:paraId="670016A7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2880" w:type="dxa"/>
          </w:tcPr>
          <w:p w14:paraId="0971F643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Формула</w:t>
            </w:r>
          </w:p>
        </w:tc>
        <w:tc>
          <w:tcPr>
            <w:tcW w:w="2880" w:type="dxa"/>
          </w:tcPr>
          <w:p w14:paraId="740129E6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Значення (%)</w:t>
            </w:r>
          </w:p>
        </w:tc>
      </w:tr>
      <w:tr w:rsidR="00C35F8C" w:rsidRPr="00EB602E" w14:paraId="2BD65E34" w14:textId="77777777">
        <w:tc>
          <w:tcPr>
            <w:tcW w:w="2880" w:type="dxa"/>
          </w:tcPr>
          <w:p w14:paraId="0DE17492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ROE (Рентабельність капіталу)</w:t>
            </w:r>
          </w:p>
        </w:tc>
        <w:tc>
          <w:tcPr>
            <w:tcW w:w="2880" w:type="dxa"/>
          </w:tcPr>
          <w:p w14:paraId="1D41B49F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Прибуток / </w:t>
            </w:r>
            <w:proofErr w:type="spellStart"/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</w:t>
            </w:r>
            <w:proofErr w:type="spellEnd"/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Капітал</w:t>
            </w:r>
          </w:p>
        </w:tc>
        <w:tc>
          <w:tcPr>
            <w:tcW w:w="2880" w:type="dxa"/>
          </w:tcPr>
          <w:p w14:paraId="7CBAF859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15.2%</w:t>
            </w:r>
          </w:p>
        </w:tc>
      </w:tr>
      <w:tr w:rsidR="00C35F8C" w:rsidRPr="00EB602E" w14:paraId="7CD2954E" w14:textId="77777777">
        <w:tc>
          <w:tcPr>
            <w:tcW w:w="2880" w:type="dxa"/>
          </w:tcPr>
          <w:p w14:paraId="59E8ABB5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ROA (Рентабельність активів)</w:t>
            </w:r>
          </w:p>
        </w:tc>
        <w:tc>
          <w:tcPr>
            <w:tcW w:w="2880" w:type="dxa"/>
          </w:tcPr>
          <w:p w14:paraId="4E102F25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Прибуток / Активи</w:t>
            </w:r>
          </w:p>
        </w:tc>
        <w:tc>
          <w:tcPr>
            <w:tcW w:w="2880" w:type="dxa"/>
          </w:tcPr>
          <w:p w14:paraId="5DED89F6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4.5%</w:t>
            </w:r>
          </w:p>
        </w:tc>
      </w:tr>
      <w:tr w:rsidR="00C35F8C" w:rsidRPr="00EB602E" w14:paraId="6C054778" w14:textId="77777777">
        <w:tc>
          <w:tcPr>
            <w:tcW w:w="2880" w:type="dxa"/>
          </w:tcPr>
          <w:p w14:paraId="35B6C39A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Коеф</w:t>
            </w:r>
            <w:proofErr w:type="spellEnd"/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фін. стійкості</w:t>
            </w:r>
          </w:p>
        </w:tc>
        <w:tc>
          <w:tcPr>
            <w:tcW w:w="2880" w:type="dxa"/>
          </w:tcPr>
          <w:p w14:paraId="3F7AC4EF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</w:t>
            </w:r>
            <w:proofErr w:type="spellEnd"/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Капітал / Баланс</w:t>
            </w:r>
          </w:p>
        </w:tc>
        <w:tc>
          <w:tcPr>
            <w:tcW w:w="2880" w:type="dxa"/>
          </w:tcPr>
          <w:p w14:paraId="63E1E46E" w14:textId="77777777" w:rsidR="00113B6F" w:rsidRPr="00EB602E" w:rsidRDefault="00000000" w:rsidP="00EB602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602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29.5%</w:t>
            </w:r>
          </w:p>
        </w:tc>
      </w:tr>
    </w:tbl>
    <w:p w14:paraId="2193BBEF" w14:textId="77777777" w:rsidR="00113B6F" w:rsidRPr="00EB602E" w:rsidRDefault="00000000" w:rsidP="00EB602E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EB602E">
        <w:rPr>
          <w:rFonts w:ascii="Times New Roman" w:hAnsi="Times New Roman" w:cs="Times New Roman"/>
          <w:b w:val="0"/>
          <w:bCs w:val="0"/>
          <w:color w:val="auto"/>
          <w:lang w:val="uk-UA"/>
        </w:rPr>
        <w:t>4. Аналіз змін у власному капіталі</w:t>
      </w:r>
    </w:p>
    <w:p w14:paraId="3B9D84AF" w14:textId="77777777" w:rsidR="00113B6F" w:rsidRPr="00EB602E" w:rsidRDefault="00000000" w:rsidP="00EB602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B602E">
        <w:rPr>
          <w:rFonts w:ascii="Times New Roman" w:hAnsi="Times New Roman" w:cs="Times New Roman"/>
          <w:sz w:val="28"/>
          <w:szCs w:val="28"/>
          <w:lang w:val="uk-UA"/>
        </w:rPr>
        <w:t>На основі Звіту про власний капітал (Форма №4) встановлено, що основними факторами змін були:</w:t>
      </w:r>
      <w:r w:rsidRPr="00EB602E">
        <w:rPr>
          <w:rFonts w:ascii="Times New Roman" w:hAnsi="Times New Roman" w:cs="Times New Roman"/>
          <w:sz w:val="28"/>
          <w:szCs w:val="28"/>
          <w:lang w:val="uk-UA"/>
        </w:rPr>
        <w:br/>
        <w:t>1. Збільшення нерозподіленого прибутку за рахунок чистого прибутку звітного року.</w:t>
      </w:r>
      <w:r w:rsidRPr="00EB602E">
        <w:rPr>
          <w:rFonts w:ascii="Times New Roman" w:hAnsi="Times New Roman" w:cs="Times New Roman"/>
          <w:sz w:val="28"/>
          <w:szCs w:val="28"/>
          <w:lang w:val="uk-UA"/>
        </w:rPr>
        <w:br/>
        <w:t>2. Нарахування дивідендів власникам (державі).</w:t>
      </w:r>
      <w:r w:rsidRPr="00EB602E">
        <w:rPr>
          <w:rFonts w:ascii="Times New Roman" w:hAnsi="Times New Roman" w:cs="Times New Roman"/>
          <w:sz w:val="28"/>
          <w:szCs w:val="28"/>
          <w:lang w:val="uk-UA"/>
        </w:rPr>
        <w:br/>
        <w:t>3. Формування резервного капіталу згідно зі статутом.</w:t>
      </w:r>
    </w:p>
    <w:p w14:paraId="24F804A5" w14:textId="77777777" w:rsidR="00113B6F" w:rsidRPr="00EB602E" w:rsidRDefault="00000000" w:rsidP="00EB602E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EB602E">
        <w:rPr>
          <w:rFonts w:ascii="Times New Roman" w:hAnsi="Times New Roman" w:cs="Times New Roman"/>
          <w:b w:val="0"/>
          <w:bCs w:val="0"/>
          <w:color w:val="auto"/>
          <w:lang w:val="uk-UA"/>
        </w:rPr>
        <w:t>Загальний висновок:</w:t>
      </w:r>
    </w:p>
    <w:p w14:paraId="59D6E3F7" w14:textId="77777777" w:rsidR="00113B6F" w:rsidRPr="00EB602E" w:rsidRDefault="00000000" w:rsidP="00EB602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B602E">
        <w:rPr>
          <w:rFonts w:ascii="Times New Roman" w:hAnsi="Times New Roman" w:cs="Times New Roman"/>
          <w:sz w:val="28"/>
          <w:szCs w:val="28"/>
          <w:lang w:val="uk-UA"/>
        </w:rPr>
        <w:t>Аналіз показав, що підприємство (банк) має стійку тенденцію до нарощування власних фінансових ресурсів. Високий рівень ВОК забезпечує стабільність операційної діяльності та ліквідність.</w:t>
      </w:r>
    </w:p>
    <w:sectPr w:rsidR="00113B6F" w:rsidRPr="00EB602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80896970">
    <w:abstractNumId w:val="8"/>
  </w:num>
  <w:num w:numId="2" w16cid:durableId="775445263">
    <w:abstractNumId w:val="6"/>
  </w:num>
  <w:num w:numId="3" w16cid:durableId="1511525479">
    <w:abstractNumId w:val="5"/>
  </w:num>
  <w:num w:numId="4" w16cid:durableId="1408845164">
    <w:abstractNumId w:val="4"/>
  </w:num>
  <w:num w:numId="5" w16cid:durableId="1370374950">
    <w:abstractNumId w:val="7"/>
  </w:num>
  <w:num w:numId="6" w16cid:durableId="262223702">
    <w:abstractNumId w:val="3"/>
  </w:num>
  <w:num w:numId="7" w16cid:durableId="888995904">
    <w:abstractNumId w:val="2"/>
  </w:num>
  <w:num w:numId="8" w16cid:durableId="1176457489">
    <w:abstractNumId w:val="1"/>
  </w:num>
  <w:num w:numId="9" w16cid:durableId="1803116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13B6F"/>
    <w:rsid w:val="0015074B"/>
    <w:rsid w:val="0029639D"/>
    <w:rsid w:val="00326F90"/>
    <w:rsid w:val="00AA1D8D"/>
    <w:rsid w:val="00B47730"/>
    <w:rsid w:val="00B75971"/>
    <w:rsid w:val="00C35F8C"/>
    <w:rsid w:val="00CB0664"/>
    <w:rsid w:val="00EB602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B0FEC0"/>
  <w14:defaultImageDpi w14:val="300"/>
  <w15:docId w15:val="{A424FBB8-C679-4CB1-A21C-250A8286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1333</Words>
  <Characters>760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vinnri</cp:lastModifiedBy>
  <cp:revision>2</cp:revision>
  <dcterms:created xsi:type="dcterms:W3CDTF">2026-05-13T12:27:00Z</dcterms:created>
  <dcterms:modified xsi:type="dcterms:W3CDTF">2026-05-13T12:27:00Z</dcterms:modified>
  <cp:category/>
</cp:coreProperties>
</file>